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552"/>
        <w:gridCol w:w="2441"/>
        <w:gridCol w:w="1664"/>
      </w:tblGrid>
      <w:tr w:rsidR="004034F0" w:rsidTr="004034F0">
        <w:tc>
          <w:tcPr>
            <w:tcW w:w="2688" w:type="dxa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034F0" w:rsidRPr="004034F0" w:rsidRDefault="004034F0" w:rsidP="00005051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Код: </w:t>
            </w:r>
            <w:r w:rsidR="00266163">
              <w:rPr>
                <w:sz w:val="28"/>
                <w:szCs w:val="28"/>
              </w:rPr>
              <w:t>00</w:t>
            </w:r>
            <w:r w:rsidR="00005051">
              <w:rPr>
                <w:sz w:val="28"/>
                <w:szCs w:val="28"/>
              </w:rPr>
              <w:t>1</w:t>
            </w:r>
            <w:r w:rsidR="00266163">
              <w:rPr>
                <w:sz w:val="28"/>
                <w:szCs w:val="28"/>
              </w:rPr>
              <w:t>/01</w:t>
            </w:r>
            <w:r w:rsidR="00B864E9">
              <w:rPr>
                <w:sz w:val="28"/>
                <w:szCs w:val="28"/>
              </w:rPr>
              <w:t>.1</w:t>
            </w:r>
          </w:p>
        </w:tc>
        <w:tc>
          <w:tcPr>
            <w:tcW w:w="6657" w:type="dxa"/>
            <w:gridSpan w:val="3"/>
          </w:tcPr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Стандартная операционная процедура</w:t>
            </w: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P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657" w:type="dxa"/>
            <w:gridSpan w:val="3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E90B1E" w:rsidRPr="004034F0" w:rsidRDefault="00392DD2" w:rsidP="004034F0">
            <w:pPr>
              <w:jc w:val="center"/>
              <w:rPr>
                <w:sz w:val="28"/>
                <w:szCs w:val="28"/>
              </w:rPr>
            </w:pPr>
            <w:r w:rsidRPr="00763132">
              <w:rPr>
                <w:sz w:val="28"/>
                <w:szCs w:val="28"/>
              </w:rPr>
              <w:t xml:space="preserve">РГП </w:t>
            </w:r>
            <w:r>
              <w:rPr>
                <w:sz w:val="28"/>
                <w:szCs w:val="28"/>
                <w:lang w:val="kk-KZ"/>
              </w:rPr>
              <w:t>на ПХВ «Национальный центр общественного здравоохранения» МЗ РК</w:t>
            </w:r>
            <w:r w:rsidRPr="004034F0">
              <w:rPr>
                <w:sz w:val="28"/>
                <w:szCs w:val="28"/>
              </w:rPr>
              <w:t xml:space="preserve"> </w:t>
            </w:r>
          </w:p>
        </w:tc>
      </w:tr>
      <w:tr w:rsidR="004034F0" w:rsidTr="004034F0">
        <w:tc>
          <w:tcPr>
            <w:tcW w:w="2688" w:type="dxa"/>
          </w:tcPr>
          <w:p w:rsidR="00E90B1E" w:rsidRDefault="00E90B1E" w:rsidP="004034F0">
            <w:pPr>
              <w:jc w:val="center"/>
              <w:rPr>
                <w:sz w:val="28"/>
                <w:szCs w:val="28"/>
              </w:rPr>
            </w:pPr>
          </w:p>
          <w:p w:rsidR="004034F0" w:rsidRDefault="004034F0" w:rsidP="004034F0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Название СОП</w:t>
            </w:r>
          </w:p>
          <w:p w:rsidR="00E90B1E" w:rsidRPr="004034F0" w:rsidRDefault="00E90B1E" w:rsidP="004034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57" w:type="dxa"/>
            <w:gridSpan w:val="3"/>
          </w:tcPr>
          <w:p w:rsidR="00287C69" w:rsidRDefault="00287C69" w:rsidP="004034F0">
            <w:pPr>
              <w:jc w:val="center"/>
              <w:rPr>
                <w:color w:val="000000"/>
              </w:rPr>
            </w:pPr>
          </w:p>
          <w:p w:rsidR="004034F0" w:rsidRPr="004D2D46" w:rsidRDefault="00005051" w:rsidP="00B710FE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этической комиссии</w:t>
            </w:r>
          </w:p>
        </w:tc>
      </w:tr>
      <w:tr w:rsidR="00392DD2" w:rsidTr="004034F0">
        <w:tc>
          <w:tcPr>
            <w:tcW w:w="2688" w:type="dxa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>СОП утвержден</w:t>
            </w:r>
          </w:p>
        </w:tc>
        <w:tc>
          <w:tcPr>
            <w:tcW w:w="6657" w:type="dxa"/>
            <w:gridSpan w:val="3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D228DD">
              <w:rPr>
                <w:sz w:val="28"/>
                <w:szCs w:val="28"/>
              </w:rPr>
              <w:t xml:space="preserve">Приказом №____ от </w:t>
            </w:r>
            <w:r>
              <w:rPr>
                <w:sz w:val="28"/>
                <w:szCs w:val="28"/>
              </w:rPr>
              <w:t>____202</w:t>
            </w:r>
            <w:r w:rsidR="00C0361E">
              <w:rPr>
                <w:sz w:val="28"/>
                <w:szCs w:val="28"/>
              </w:rPr>
              <w:t>4</w:t>
            </w:r>
            <w:r w:rsidRPr="008E1F1C">
              <w:rPr>
                <w:sz w:val="28"/>
                <w:szCs w:val="28"/>
              </w:rPr>
              <w:t xml:space="preserve"> г.</w:t>
            </w:r>
          </w:p>
          <w:p w:rsidR="00392DD2" w:rsidRDefault="00392DD2" w:rsidP="00392DD2">
            <w:pPr>
              <w:jc w:val="center"/>
            </w:pPr>
          </w:p>
        </w:tc>
      </w:tr>
      <w:tr w:rsidR="00392DD2" w:rsidTr="00635BA8">
        <w:trPr>
          <w:trHeight w:val="165"/>
        </w:trPr>
        <w:tc>
          <w:tcPr>
            <w:tcW w:w="2688" w:type="dxa"/>
            <w:vMerge w:val="restart"/>
          </w:tcPr>
          <w:p w:rsid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  <w:r w:rsidRPr="004034F0">
              <w:rPr>
                <w:sz w:val="28"/>
                <w:szCs w:val="28"/>
              </w:rPr>
              <w:t xml:space="preserve">Разработчики </w:t>
            </w:r>
          </w:p>
        </w:tc>
        <w:tc>
          <w:tcPr>
            <w:tcW w:w="2552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2441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664" w:type="dxa"/>
          </w:tcPr>
          <w:p w:rsidR="00392DD2" w:rsidRPr="004034F0" w:rsidRDefault="00392DD2" w:rsidP="00392DD2">
            <w:pPr>
              <w:jc w:val="center"/>
              <w:rPr>
                <w:b/>
                <w:sz w:val="28"/>
                <w:szCs w:val="28"/>
              </w:rPr>
            </w:pPr>
            <w:r w:rsidRPr="004034F0">
              <w:rPr>
                <w:b/>
                <w:sz w:val="28"/>
                <w:szCs w:val="28"/>
              </w:rPr>
              <w:t xml:space="preserve">Подпись </w:t>
            </w:r>
          </w:p>
        </w:tc>
      </w:tr>
      <w:tr w:rsidR="00392DD2" w:rsidRPr="00392DD2" w:rsidTr="003D68F7">
        <w:trPr>
          <w:trHeight w:val="165"/>
        </w:trPr>
        <w:tc>
          <w:tcPr>
            <w:tcW w:w="2688" w:type="dxa"/>
            <w:vMerge/>
          </w:tcPr>
          <w:p w:rsidR="00392DD2" w:rsidRPr="004034F0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2" w:rsidRPr="00392DD2" w:rsidRDefault="00392DD2" w:rsidP="00114569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Председатель </w:t>
            </w:r>
            <w:r w:rsidR="00C0361E">
              <w:rPr>
                <w:sz w:val="28"/>
                <w:szCs w:val="28"/>
              </w:rPr>
              <w:t>ЛКБ</w:t>
            </w:r>
            <w:r w:rsidRPr="00392DD2">
              <w:rPr>
                <w:sz w:val="28"/>
                <w:szCs w:val="28"/>
              </w:rPr>
              <w:t xml:space="preserve">, </w:t>
            </w:r>
            <w:r w:rsidRPr="00392D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92DD2">
              <w:rPr>
                <w:rFonts w:ascii="Calibri" w:eastAsia="Calibri" w:hAnsi="Calibri" w:cs="Times New Roman"/>
              </w:rPr>
              <w:t xml:space="preserve"> </w:t>
            </w:r>
            <w:r w:rsidR="00C0361E" w:rsidRPr="00C0361E">
              <w:rPr>
                <w:rFonts w:asciiTheme="majorHAnsi" w:eastAsia="Calibri" w:hAnsiTheme="majorHAnsi" w:cstheme="majorHAnsi"/>
                <w:sz w:val="28"/>
                <w:szCs w:val="28"/>
              </w:rPr>
              <w:t>к.м.н.</w:t>
            </w:r>
            <w:r w:rsidR="00C0361E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, </w:t>
            </w:r>
            <w:r w:rsidR="00114569">
              <w:rPr>
                <w:rFonts w:asciiTheme="majorHAnsi" w:eastAsia="Calibri" w:hAnsiTheme="majorHAnsi" w:cstheme="majorHAnsi"/>
                <w:sz w:val="28"/>
                <w:szCs w:val="28"/>
              </w:rPr>
              <w:t>Д</w:t>
            </w:r>
            <w:r w:rsidR="00C0361E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иректор Департамента профилактики инфекционных заболеваний </w:t>
            </w:r>
          </w:p>
        </w:tc>
        <w:tc>
          <w:tcPr>
            <w:tcW w:w="2441" w:type="dxa"/>
          </w:tcPr>
          <w:p w:rsidR="00392DD2" w:rsidRPr="00392DD2" w:rsidRDefault="00C0361E" w:rsidP="00392DD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Текебаев</w:t>
            </w:r>
            <w:proofErr w:type="spellEnd"/>
            <w:r>
              <w:rPr>
                <w:sz w:val="28"/>
                <w:szCs w:val="28"/>
              </w:rPr>
              <w:t xml:space="preserve"> К.О.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392DD2" w:rsidRPr="00392DD2" w:rsidTr="003D68F7">
        <w:trPr>
          <w:trHeight w:val="150"/>
        </w:trPr>
        <w:tc>
          <w:tcPr>
            <w:tcW w:w="2688" w:type="dxa"/>
            <w:vMerge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Секретарь ЛК</w:t>
            </w:r>
            <w:r w:rsidR="00141D4A">
              <w:rPr>
                <w:sz w:val="28"/>
                <w:szCs w:val="28"/>
              </w:rPr>
              <w:t>Б</w:t>
            </w:r>
            <w:r w:rsidRPr="00392DD2">
              <w:rPr>
                <w:sz w:val="28"/>
                <w:szCs w:val="28"/>
              </w:rPr>
              <w:t>,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Руководитель отдела анализа </w:t>
            </w:r>
            <w:proofErr w:type="spellStart"/>
            <w:r w:rsidRPr="00392DD2">
              <w:rPr>
                <w:sz w:val="28"/>
                <w:szCs w:val="28"/>
              </w:rPr>
              <w:t>скрининговых</w:t>
            </w:r>
            <w:proofErr w:type="spellEnd"/>
            <w:r w:rsidRPr="00392DD2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2441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proofErr w:type="spellStart"/>
            <w:r w:rsidRPr="00392DD2">
              <w:rPr>
                <w:sz w:val="28"/>
                <w:szCs w:val="28"/>
              </w:rPr>
              <w:t>Конуршина</w:t>
            </w:r>
            <w:proofErr w:type="spellEnd"/>
            <w:r w:rsidRPr="00392DD2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664" w:type="dxa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  <w:tr w:rsidR="00392DD2" w:rsidRPr="00392DD2" w:rsidTr="00635BA8">
        <w:tc>
          <w:tcPr>
            <w:tcW w:w="5240" w:type="dxa"/>
            <w:gridSpan w:val="2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392DD2" w:rsidRDefault="00392DD2" w:rsidP="007A6EA1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>Следующий пересмотр – 202</w:t>
            </w:r>
            <w:r w:rsidR="007A6EA1">
              <w:rPr>
                <w:sz w:val="28"/>
                <w:szCs w:val="28"/>
              </w:rPr>
              <w:t>7</w:t>
            </w:r>
            <w:r w:rsidRPr="00392DD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105" w:type="dxa"/>
            <w:gridSpan w:val="2"/>
          </w:tcPr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  <w:r w:rsidRPr="00392DD2">
              <w:rPr>
                <w:sz w:val="28"/>
                <w:szCs w:val="28"/>
              </w:rPr>
              <w:t xml:space="preserve">Версия № </w:t>
            </w:r>
            <w:r w:rsidR="007A6EA1">
              <w:rPr>
                <w:sz w:val="28"/>
                <w:szCs w:val="28"/>
              </w:rPr>
              <w:t>1</w:t>
            </w:r>
          </w:p>
          <w:p w:rsidR="00392DD2" w:rsidRPr="00392DD2" w:rsidRDefault="00392DD2" w:rsidP="00392D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34F0" w:rsidRPr="00392DD2" w:rsidRDefault="004034F0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0D69E5" w:rsidRPr="00392DD2" w:rsidRDefault="000D69E5" w:rsidP="004034F0">
      <w:pPr>
        <w:jc w:val="center"/>
      </w:pPr>
    </w:p>
    <w:p w:rsidR="000D69E5" w:rsidRPr="00392DD2" w:rsidRDefault="000D69E5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8226BA" w:rsidRPr="00392DD2" w:rsidRDefault="008226BA" w:rsidP="004034F0">
      <w:pPr>
        <w:jc w:val="center"/>
      </w:pPr>
    </w:p>
    <w:p w:rsidR="00C30FA8" w:rsidRPr="00392DD2" w:rsidRDefault="00C30FA8" w:rsidP="004034F0">
      <w:pPr>
        <w:jc w:val="center"/>
      </w:pPr>
    </w:p>
    <w:p w:rsidR="003D5EB8" w:rsidRPr="00392DD2" w:rsidRDefault="003D5EB8" w:rsidP="004034F0">
      <w:pPr>
        <w:jc w:val="center"/>
      </w:pPr>
    </w:p>
    <w:p w:rsidR="00C30FA8" w:rsidRPr="00392DD2" w:rsidRDefault="00C30FA8" w:rsidP="00392DD2">
      <w:pPr>
        <w:jc w:val="center"/>
      </w:pPr>
    </w:p>
    <w:p w:rsidR="008226BA" w:rsidRPr="00392DD2" w:rsidRDefault="00392DD2" w:rsidP="00392DD2">
      <w:pPr>
        <w:jc w:val="center"/>
        <w:rPr>
          <w:sz w:val="28"/>
          <w:szCs w:val="28"/>
        </w:rPr>
      </w:pPr>
      <w:r w:rsidRPr="00392DD2">
        <w:rPr>
          <w:sz w:val="28"/>
          <w:szCs w:val="28"/>
        </w:rPr>
        <w:t>Астана – 202</w:t>
      </w:r>
      <w:r w:rsidR="00C0361E">
        <w:rPr>
          <w:sz w:val="28"/>
          <w:szCs w:val="28"/>
        </w:rPr>
        <w:t>4</w:t>
      </w:r>
      <w:r w:rsidR="00EB3435" w:rsidRPr="00392DD2">
        <w:rPr>
          <w:sz w:val="28"/>
          <w:szCs w:val="28"/>
        </w:rPr>
        <w:t xml:space="preserve"> </w:t>
      </w:r>
      <w:r w:rsidR="008226BA" w:rsidRPr="00392DD2">
        <w:rPr>
          <w:sz w:val="28"/>
          <w:szCs w:val="28"/>
        </w:rPr>
        <w:t>г.</w:t>
      </w:r>
    </w:p>
    <w:p w:rsidR="00005051" w:rsidRPr="00357EAB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center"/>
        <w:rPr>
          <w:b/>
          <w:sz w:val="28"/>
          <w:szCs w:val="28"/>
        </w:rPr>
      </w:pPr>
      <w:r w:rsidRPr="00357EAB">
        <w:rPr>
          <w:b/>
          <w:color w:val="000000"/>
          <w:sz w:val="28"/>
          <w:szCs w:val="28"/>
        </w:rPr>
        <w:lastRenderedPageBreak/>
        <w:t xml:space="preserve">Организация </w:t>
      </w:r>
      <w:r w:rsidRPr="00357EAB">
        <w:rPr>
          <w:b/>
          <w:color w:val="000000"/>
          <w:sz w:val="28"/>
          <w:szCs w:val="28"/>
          <w:lang w:val="kk-KZ"/>
        </w:rPr>
        <w:t>локальной</w:t>
      </w:r>
      <w:r w:rsidRPr="00357EAB">
        <w:rPr>
          <w:b/>
          <w:color w:val="000000"/>
          <w:sz w:val="28"/>
          <w:szCs w:val="28"/>
        </w:rPr>
        <w:t xml:space="preserve"> комиссии по </w:t>
      </w:r>
      <w:r>
        <w:rPr>
          <w:b/>
          <w:color w:val="000000"/>
          <w:sz w:val="28"/>
          <w:szCs w:val="28"/>
        </w:rPr>
        <w:t>био</w:t>
      </w:r>
      <w:r w:rsidRPr="00357EAB">
        <w:rPr>
          <w:b/>
          <w:color w:val="000000"/>
          <w:sz w:val="28"/>
          <w:szCs w:val="28"/>
        </w:rPr>
        <w:t>этик</w:t>
      </w:r>
      <w:r>
        <w:rPr>
          <w:b/>
          <w:color w:val="000000"/>
          <w:sz w:val="28"/>
          <w:szCs w:val="28"/>
        </w:rPr>
        <w:t>е</w:t>
      </w:r>
    </w:p>
    <w:p w:rsidR="00005051" w:rsidRPr="00B7362E" w:rsidRDefault="00005051" w:rsidP="00005051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rFonts w:asciiTheme="majorHAnsi" w:hAnsiTheme="majorHAnsi" w:cstheme="majorHAnsi"/>
          <w:sz w:val="28"/>
          <w:szCs w:val="28"/>
          <w:u w:val="single"/>
        </w:rPr>
        <w:t>Цель:</w:t>
      </w:r>
      <w:r w:rsidRPr="00B7362E">
        <w:rPr>
          <w:rFonts w:asciiTheme="majorHAnsi" w:hAnsiTheme="majorHAnsi" w:cstheme="majorHAnsi"/>
          <w:sz w:val="28"/>
          <w:szCs w:val="28"/>
        </w:rPr>
        <w:t xml:space="preserve"> </w:t>
      </w:r>
      <w:r w:rsidRPr="00B7362E">
        <w:rPr>
          <w:sz w:val="28"/>
          <w:szCs w:val="28"/>
        </w:rPr>
        <w:t xml:space="preserve">обеспечение независимой экспертизы, консультирование и принятие решений по вопросам этики касательно биомедицинских исследований, предусматривающих участие людей. </w:t>
      </w:r>
    </w:p>
    <w:p w:rsidR="00005051" w:rsidRPr="00B7362E" w:rsidRDefault="00005051" w:rsidP="00005051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B7362E">
        <w:rPr>
          <w:rFonts w:asciiTheme="majorHAnsi" w:hAnsiTheme="majorHAnsi" w:cstheme="majorHAnsi"/>
          <w:sz w:val="28"/>
          <w:szCs w:val="28"/>
          <w:u w:val="single"/>
        </w:rPr>
        <w:t>Область применения</w:t>
      </w:r>
      <w:r w:rsidRPr="00B7362E">
        <w:rPr>
          <w:rFonts w:asciiTheme="majorHAnsi" w:hAnsiTheme="majorHAnsi" w:cstheme="majorHAnsi"/>
          <w:sz w:val="28"/>
          <w:szCs w:val="28"/>
        </w:rPr>
        <w:t xml:space="preserve">: </w:t>
      </w:r>
      <w:r w:rsidRPr="00B7362E">
        <w:rPr>
          <w:sz w:val="28"/>
          <w:szCs w:val="28"/>
        </w:rPr>
        <w:t>Данная стандартная операционная процедура относится ко всем видам деятельности ЛК</w:t>
      </w:r>
      <w:r>
        <w:rPr>
          <w:sz w:val="28"/>
          <w:szCs w:val="28"/>
        </w:rPr>
        <w:t>Б</w:t>
      </w:r>
      <w:r w:rsidRPr="00B7362E">
        <w:rPr>
          <w:sz w:val="28"/>
          <w:szCs w:val="28"/>
        </w:rPr>
        <w:t>.</w:t>
      </w:r>
    </w:p>
    <w:p w:rsidR="00005051" w:rsidRPr="00F40E1A" w:rsidRDefault="00005051" w:rsidP="00005051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F40E1A">
        <w:rPr>
          <w:rFonts w:asciiTheme="majorHAnsi" w:hAnsiTheme="majorHAnsi" w:cstheme="majorHAnsi"/>
          <w:sz w:val="28"/>
          <w:szCs w:val="28"/>
          <w:u w:val="single"/>
        </w:rPr>
        <w:t>Определения, сокращения и аббревиатура</w:t>
      </w:r>
      <w:r w:rsidRPr="00F40E1A">
        <w:rPr>
          <w:rFonts w:asciiTheme="majorHAnsi" w:hAnsiTheme="majorHAnsi" w:cstheme="majorHAnsi"/>
          <w:sz w:val="28"/>
          <w:szCs w:val="28"/>
        </w:rPr>
        <w:t>:</w:t>
      </w:r>
    </w:p>
    <w:p w:rsidR="00005051" w:rsidRPr="00F40E1A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Центр</w:t>
      </w:r>
      <w:r w:rsidRPr="00F40E1A">
        <w:rPr>
          <w:rFonts w:asciiTheme="majorHAnsi" w:hAnsiTheme="majorHAnsi" w:cstheme="majorHAnsi"/>
          <w:sz w:val="28"/>
          <w:szCs w:val="28"/>
        </w:rPr>
        <w:t xml:space="preserve"> – </w:t>
      </w:r>
      <w:r>
        <w:rPr>
          <w:rFonts w:asciiTheme="majorHAnsi" w:hAnsiTheme="majorHAnsi" w:cstheme="majorHAnsi"/>
          <w:sz w:val="28"/>
          <w:szCs w:val="28"/>
        </w:rPr>
        <w:t>Национальный центр общественного здравоохранения МЗ РК</w:t>
      </w:r>
      <w:r w:rsidRPr="00F40E1A">
        <w:rPr>
          <w:rFonts w:asciiTheme="majorHAnsi" w:hAnsiTheme="majorHAnsi" w:cstheme="majorHAnsi"/>
          <w:sz w:val="28"/>
          <w:szCs w:val="28"/>
        </w:rPr>
        <w:t xml:space="preserve"> </w:t>
      </w:r>
    </w:p>
    <w:p w:rsidR="00005051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ЛКБ</w:t>
      </w:r>
      <w:r w:rsidRPr="00F40E1A">
        <w:rPr>
          <w:rFonts w:asciiTheme="majorHAnsi" w:hAnsiTheme="majorHAnsi" w:cstheme="majorHAnsi"/>
          <w:sz w:val="28"/>
          <w:szCs w:val="28"/>
        </w:rPr>
        <w:t xml:space="preserve"> –локальная комиссия по </w:t>
      </w:r>
      <w:r>
        <w:rPr>
          <w:rFonts w:asciiTheme="majorHAnsi" w:hAnsiTheme="majorHAnsi" w:cstheme="majorHAnsi"/>
          <w:sz w:val="28"/>
          <w:szCs w:val="28"/>
        </w:rPr>
        <w:t>био</w:t>
      </w:r>
      <w:r w:rsidRPr="00F40E1A">
        <w:rPr>
          <w:rFonts w:asciiTheme="majorHAnsi" w:hAnsiTheme="majorHAnsi" w:cstheme="majorHAnsi"/>
          <w:sz w:val="28"/>
          <w:szCs w:val="28"/>
        </w:rPr>
        <w:t>этик</w:t>
      </w:r>
      <w:r>
        <w:rPr>
          <w:rFonts w:asciiTheme="majorHAnsi" w:hAnsiTheme="majorHAnsi" w:cstheme="majorHAnsi"/>
          <w:sz w:val="28"/>
          <w:szCs w:val="28"/>
        </w:rPr>
        <w:t>е</w:t>
      </w:r>
      <w:r w:rsidRPr="00F40E1A">
        <w:rPr>
          <w:rFonts w:asciiTheme="majorHAnsi" w:hAnsiTheme="majorHAnsi" w:cstheme="majorHAnsi"/>
          <w:sz w:val="28"/>
          <w:szCs w:val="28"/>
        </w:rPr>
        <w:t xml:space="preserve"> </w:t>
      </w:r>
    </w:p>
    <w:p w:rsidR="00005051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ВОЗ – Всемирная организация здравоохранения</w:t>
      </w:r>
    </w:p>
    <w:p w:rsidR="00005051" w:rsidRPr="00F40E1A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СНГ – Содружество независимых государств</w:t>
      </w:r>
    </w:p>
    <w:p w:rsidR="00005051" w:rsidRPr="00B7362E" w:rsidRDefault="00005051" w:rsidP="00005051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 w:rsidRPr="00B7362E">
        <w:rPr>
          <w:rFonts w:asciiTheme="majorHAnsi" w:hAnsiTheme="majorHAnsi" w:cstheme="majorHAnsi"/>
          <w:sz w:val="28"/>
          <w:szCs w:val="28"/>
          <w:u w:val="single"/>
        </w:rPr>
        <w:t>Ответственность</w:t>
      </w:r>
      <w:r w:rsidRPr="00B7362E">
        <w:rPr>
          <w:rFonts w:asciiTheme="majorHAnsi" w:hAnsiTheme="majorHAnsi" w:cstheme="majorHAnsi"/>
          <w:sz w:val="28"/>
          <w:szCs w:val="28"/>
        </w:rPr>
        <w:t>:</w:t>
      </w:r>
      <w:r w:rsidRPr="00B7362E">
        <w:rPr>
          <w:rFonts w:asciiTheme="majorHAnsi" w:hAnsiTheme="majorHAnsi" w:cstheme="majorHAnsi"/>
          <w:sz w:val="28"/>
          <w:szCs w:val="28"/>
          <w:u w:val="single"/>
        </w:rPr>
        <w:t xml:space="preserve"> Председатель, секретарь и члены ЛК</w:t>
      </w:r>
      <w:r>
        <w:rPr>
          <w:rFonts w:asciiTheme="majorHAnsi" w:hAnsiTheme="majorHAnsi" w:cstheme="majorHAnsi"/>
          <w:sz w:val="28"/>
          <w:szCs w:val="28"/>
          <w:u w:val="single"/>
        </w:rPr>
        <w:t>Б</w:t>
      </w:r>
    </w:p>
    <w:p w:rsidR="00005051" w:rsidRPr="003D5EB8" w:rsidRDefault="00005051" w:rsidP="00005051">
      <w:p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  <w:highlight w:val="yellow"/>
        </w:rPr>
      </w:pPr>
      <w:r w:rsidRPr="00B7362E">
        <w:rPr>
          <w:rFonts w:asciiTheme="majorHAnsi" w:hAnsiTheme="majorHAnsi" w:cstheme="majorHAnsi"/>
          <w:sz w:val="28"/>
          <w:szCs w:val="28"/>
          <w:u w:val="single"/>
        </w:rPr>
        <w:t>Процедура</w:t>
      </w:r>
      <w:r w:rsidRPr="00B7362E">
        <w:rPr>
          <w:rFonts w:asciiTheme="majorHAnsi" w:hAnsiTheme="majorHAnsi" w:cstheme="majorHAnsi"/>
          <w:sz w:val="28"/>
          <w:szCs w:val="28"/>
        </w:rPr>
        <w:t xml:space="preserve">: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Этическая комиссия в своей работе при оценках, рекомендациях и решениях учитывает национальные и международные руководства по этике биомедицинских исследований с участием человека, </w:t>
      </w:r>
      <w:r w:rsidRPr="00B7362E">
        <w:rPr>
          <w:sz w:val="28"/>
          <w:szCs w:val="28"/>
          <w:lang w:val="en-US"/>
        </w:rPr>
        <w:t>SIOMS</w:t>
      </w:r>
      <w:r w:rsidRPr="00B7362E">
        <w:rPr>
          <w:sz w:val="28"/>
          <w:szCs w:val="28"/>
        </w:rPr>
        <w:t>, ВОЗ, Конвенцию Совета Европы по правам человека и биомедицине, и другие акты.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Этическая комиссия разрабатывает собственные стандартные рабочие процедуры, основанные на Рекомендациях комитетам по этике, проводящим экспертизу биомедицинских исследований (Женева, ВОЗ, 2000 и Форум Комитетов по этике государств–участников СНГ (ФКЭСНГ)/ Стратегическая Инициатива Развития Возможностей Этической Экспертизы (</w:t>
      </w:r>
      <w:r w:rsidRPr="00B7362E">
        <w:rPr>
          <w:sz w:val="28"/>
          <w:szCs w:val="28"/>
          <w:lang w:val="en-US"/>
        </w:rPr>
        <w:t>SIDCER</w:t>
      </w:r>
      <w:r w:rsidRPr="00B7362E">
        <w:rPr>
          <w:sz w:val="28"/>
          <w:szCs w:val="28"/>
        </w:rPr>
        <w:t>)/ВОЗ/2004, Санкт-Петербург, 2004).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Этическая комиссия создается и функционирует в соответствии с национальным законодательством и стремится выполнять международные требования по соблюдению гарантий для участников медико-биологических исследований.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2B6C03">
        <w:rPr>
          <w:sz w:val="28"/>
          <w:szCs w:val="28"/>
        </w:rPr>
        <w:t xml:space="preserve">Решение этического комитета может быть сформулировано в таких формах как: </w:t>
      </w:r>
      <w:r w:rsidRPr="002B6C03">
        <w:rPr>
          <w:i/>
          <w:iCs/>
          <w:sz w:val="28"/>
          <w:szCs w:val="28"/>
        </w:rPr>
        <w:t xml:space="preserve">«одобрение», «одобрение с рекомендациями», «неодобрение», </w:t>
      </w:r>
      <w:r w:rsidRPr="002B6C03">
        <w:rPr>
          <w:sz w:val="28"/>
          <w:szCs w:val="28"/>
        </w:rPr>
        <w:t>Этическая</w:t>
      </w:r>
      <w:r w:rsidRPr="00B7362E">
        <w:rPr>
          <w:sz w:val="28"/>
          <w:szCs w:val="28"/>
        </w:rPr>
        <w:t xml:space="preserve"> комиссия в своей деятельности признает и уважает различие культур и религий.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Этическая комиссия в своей деятельности соблюдает принципы независимости, открытости, компетентности и плюрализма.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b/>
          <w:bCs/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>Состав Этического комитета</w:t>
      </w:r>
      <w:r w:rsidRPr="00B7362E">
        <w:rPr>
          <w:b/>
          <w:bCs/>
          <w:iCs/>
          <w:sz w:val="28"/>
          <w:szCs w:val="28"/>
        </w:rPr>
        <w:tab/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Состав членов этической комиссии включает</w:t>
      </w:r>
      <w:r>
        <w:rPr>
          <w:sz w:val="28"/>
          <w:szCs w:val="28"/>
        </w:rPr>
        <w:t xml:space="preserve"> в себя нечетное количество </w:t>
      </w:r>
      <w:proofErr w:type="gramStart"/>
      <w:r>
        <w:rPr>
          <w:sz w:val="28"/>
          <w:szCs w:val="28"/>
        </w:rPr>
        <w:t>( от</w:t>
      </w:r>
      <w:proofErr w:type="gramEnd"/>
      <w:r>
        <w:rPr>
          <w:sz w:val="28"/>
          <w:szCs w:val="28"/>
        </w:rPr>
        <w:t xml:space="preserve"> 5 и не более 11</w:t>
      </w:r>
      <w:r w:rsidRPr="00B7362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).</w:t>
      </w:r>
      <w:r w:rsidRPr="00B7362E">
        <w:rPr>
          <w:sz w:val="28"/>
          <w:szCs w:val="28"/>
        </w:rPr>
        <w:t xml:space="preserve"> 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должны представлять различные области знаний для того, чтобы обеспечить полную и адекватную этическую экспертизу исследований. В число членов комитета по этике должны входить специалисты в области медицины, специалист в области юриспруденции, как минимум один специалист, сферой основной деятельности которого не является область медицинской науки независимые в своих оценках, советах и решениях. Состав этического комитета утверждается </w:t>
      </w:r>
      <w:r w:rsidR="001C6000">
        <w:rPr>
          <w:sz w:val="28"/>
          <w:szCs w:val="28"/>
        </w:rPr>
        <w:t xml:space="preserve"> Председателем Правления НЦОЗ.</w:t>
      </w:r>
      <w:r w:rsidRPr="00B7362E">
        <w:rPr>
          <w:sz w:val="28"/>
          <w:szCs w:val="28"/>
        </w:rPr>
        <w:t xml:space="preserve">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должны быть различного пола и возраста, сфера профессиональной деятельности не ограничивается.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bCs/>
          <w:sz w:val="28"/>
          <w:szCs w:val="28"/>
        </w:rPr>
      </w:pPr>
      <w:r w:rsidRPr="00B7362E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выбираются по их личностным качествам, на основе их интересов, знания и опыта в области этики или науки, а также на основании стремления и согласия уделить необходимое время и усилия для работы 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. Члены этического комитета выбираются сроком на 3 (три) года и </w:t>
      </w:r>
      <w:r w:rsidRPr="00B7362E">
        <w:rPr>
          <w:bCs/>
          <w:sz w:val="28"/>
          <w:szCs w:val="28"/>
        </w:rPr>
        <w:t>возможным переизбранием на последующий срок.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FD34D0">
        <w:rPr>
          <w:sz w:val="28"/>
          <w:szCs w:val="28"/>
        </w:rPr>
        <w:t>Этический комитет должен проводить частичную ротацию после трехлетнего периода членства, следует также стремиться к обеспечению преемственности кадров в этическом комитете путем создания института обучения.</w:t>
      </w:r>
      <w:r w:rsidRPr="00B7362E">
        <w:rPr>
          <w:sz w:val="28"/>
          <w:szCs w:val="28"/>
        </w:rPr>
        <w:t xml:space="preserve">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Расширение состава и введение новых членов проводится по решению председателя </w:t>
      </w:r>
      <w:r>
        <w:rPr>
          <w:sz w:val="28"/>
          <w:szCs w:val="28"/>
        </w:rPr>
        <w:t>Л</w:t>
      </w:r>
      <w:r w:rsidRPr="00B7362E">
        <w:rPr>
          <w:sz w:val="28"/>
          <w:szCs w:val="28"/>
        </w:rPr>
        <w:t>К</w:t>
      </w:r>
      <w:r>
        <w:rPr>
          <w:sz w:val="28"/>
          <w:szCs w:val="28"/>
        </w:rPr>
        <w:t>Б.</w:t>
      </w:r>
      <w:r w:rsidRPr="00B7362E">
        <w:rPr>
          <w:sz w:val="28"/>
          <w:szCs w:val="28"/>
        </w:rPr>
        <w:t xml:space="preserve"> Новые члены вводятся в состав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после одобрения их кандидатур членами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готовит обсуждение кандидатур: опрашивает всех членов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относительно их намерения кооптировать кандидатов, получает от них информацию о согласии названных кандидатов либо от самих кандидатов согласие на возможное включение в состав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, запрашивает у них их профессиональные автобиографии (</w:t>
      </w:r>
      <w:r w:rsidRPr="00B7362E">
        <w:rPr>
          <w:sz w:val="28"/>
          <w:szCs w:val="28"/>
          <w:lang w:val="en-US"/>
        </w:rPr>
        <w:t>CV</w:t>
      </w:r>
      <w:r w:rsidRPr="00B7362E">
        <w:rPr>
          <w:sz w:val="28"/>
          <w:szCs w:val="28"/>
        </w:rPr>
        <w:t>).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обладает правом вето в отношении кандидатур и не обязан объяснять причин такого решения. Данное право дается Председателю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с целью обеспечения атмосферы взаимного уважения и доверия, доброжелательности и предотвращения конфликтных ситуаций при проведении этической экспертизы клинических исследований при различных мнениях членов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.</w:t>
      </w:r>
    </w:p>
    <w:p w:rsidR="00005051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Обсуждение кандидатур проводится на основании рекомендации члена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, который предложил кандидата, и профессиональной автобиографии кандидата. Условием обсуждения является согласие кандидата на возможное включение в состав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, готовность следовать правилам Надлежащей клинической практики (</w:t>
      </w:r>
      <w:r w:rsidRPr="00B7362E">
        <w:rPr>
          <w:sz w:val="28"/>
          <w:szCs w:val="28"/>
          <w:lang w:val="en-US"/>
        </w:rPr>
        <w:t>GCP</w:t>
      </w:r>
      <w:r w:rsidRPr="00B7362E">
        <w:rPr>
          <w:sz w:val="28"/>
          <w:szCs w:val="28"/>
        </w:rPr>
        <w:t xml:space="preserve">), выполнять стандартные операционные процедуры (СОП)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, а также согласие на обнародование своих данных (имени, профессии, должности), подписать обязательство о конфиденциальности.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может поручить одному или нескольким из своих членов провести конфиденциальную беседу с кандидатом для выяснения возникших при обсуждении вопросов. Решение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по данному вопросу принимаются путем консенсуса на заседании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. После одобрения новых членов </w:t>
      </w:r>
      <w:r>
        <w:rPr>
          <w:sz w:val="28"/>
          <w:szCs w:val="28"/>
        </w:rPr>
        <w:t>ЛКБ Председатель</w:t>
      </w:r>
      <w:r w:rsidRPr="00B7362E">
        <w:rPr>
          <w:sz w:val="28"/>
          <w:szCs w:val="28"/>
        </w:rPr>
        <w:t xml:space="preserve"> вносит и утверждает соответствующее дополнение в списочный состав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с указанием даты дополнения.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Список кандидатов и ход обсуждения кандидатур не должны разглашаться членами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, отрицательные решения этического комитета в отношении кого-либо из кандидатов, любые частные мнения членов комитета по этому вопросу являются строго конфиденциальными.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При вступлении 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каждый участник должен подписать соглашение о конфиденциальности, обеспечивающее сохранение в тайне от неуполномоченных на то лиц информации, не подлежащей разглашению.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должны указать об имеющемся у них каком-либо конфликте интересов или какой-либо степени заинтересованности – в финансовом, профессиональном или ином отношении – в каком-либо проекте или предложении, подлежащих рассмотрению, а </w:t>
      </w:r>
      <w:r w:rsidRPr="003F72DB"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должен определить возможность и условия участия членов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, имеющих какой-либо конфликт интересов, в обсуждении и формировании рекомендаций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. 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могут быть дисквалифицированы по решению комитета при наличии соответствующих аргументов и данный процесс дисквалификации проводится путем голосования членов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. 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могут быть исключены из состава решением остальных членов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при недобросовестном выполнении своих обязанностей: уклонении от участия в заседаниях, разглашении конфиденциальной информации, касающейся конкретного клинического исследования и/или хода заседаний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, систематического (более 20% решений в год) отказа от участия в принятии решений из-за конфликта интересов.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могут выйти из состава по собственному желанию, представив соответствующее прошение председателю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. 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, ушедшие по собственному желанию или дисквалифицированные, могут быть заменены в результате соответствующих назначений новых членов комитета.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rPr>
          <w:b/>
          <w:bCs/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>Независимые консультанты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может опираться в своих суждениях относительно отдельных Протоколов исследования или рекомендаций на мнение независимых консультантов (экспертов) по определенным вопросам, однако их голос является совещательным, а не решающим.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pacing w:val="-3"/>
          <w:sz w:val="28"/>
          <w:szCs w:val="28"/>
        </w:rPr>
      </w:pPr>
      <w:r w:rsidRPr="00B7362E">
        <w:rPr>
          <w:sz w:val="28"/>
          <w:szCs w:val="28"/>
        </w:rPr>
        <w:t xml:space="preserve">Независимый консультант может назначаться председателем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из числа экспертов по узкоспециализированным дисциплинам, вопросам юриспруденции, религии и др. для проведения экспертизы по конкретному исследованию.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Независимые консультанты, при привлечении к этической экспертизе, как и члены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, должны подписать соглашение о конфиденциальности / конфликте интересов.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rPr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>Распределение обязанностей среди членов этической комиссии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Надлежащее функционирование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в соответствии со своей сферой ответственности обеспечивают следующие должностные лица: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 Председатель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362E">
        <w:rPr>
          <w:sz w:val="28"/>
          <w:szCs w:val="28"/>
        </w:rPr>
        <w:t>Заместитель председателя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 - Секретарь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Председатель отвечает за организацию совещаний, приглашает независимых консультантов для проведения специфической экспертизы для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по конкретному исследованию.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lastRenderedPageBreak/>
        <w:t xml:space="preserve">Заместитель председателя отвечает за проведение заседаний в отсутствии председателя и за помощь ему в проведении заседаний.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 w:rsidRPr="00B7362E">
        <w:rPr>
          <w:sz w:val="28"/>
          <w:szCs w:val="28"/>
        </w:rPr>
        <w:t>екретарь</w:t>
      </w:r>
      <w:proofErr w:type="spellEnd"/>
      <w:r w:rsidRPr="00B7362E">
        <w:rPr>
          <w:sz w:val="28"/>
          <w:szCs w:val="28"/>
        </w:rPr>
        <w:t xml:space="preserve"> отвечает за административный аспект деятельности комитета.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Секретар</w:t>
      </w:r>
      <w:r>
        <w:rPr>
          <w:sz w:val="28"/>
          <w:szCs w:val="28"/>
        </w:rPr>
        <w:t>ь</w:t>
      </w:r>
      <w:r w:rsidRPr="00B7362E">
        <w:rPr>
          <w:sz w:val="28"/>
          <w:szCs w:val="28"/>
        </w:rPr>
        <w:t xml:space="preserve"> выполняет следующие функции: 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организация эффективного делопроизводства по каждой полученной заявке; 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>подготовка и ведение дел;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организация регулярных заседаний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>;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>подготовка повестки дня и ведение протоколов заседания;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 xml:space="preserve">ведение документации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и архива;</w:t>
      </w:r>
    </w:p>
    <w:p w:rsidR="00005051" w:rsidRPr="00B7362E" w:rsidRDefault="00005051" w:rsidP="00005051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hanging="153"/>
        <w:rPr>
          <w:sz w:val="28"/>
          <w:szCs w:val="28"/>
        </w:rPr>
      </w:pPr>
      <w:r w:rsidRPr="00B7362E">
        <w:rPr>
          <w:sz w:val="28"/>
          <w:szCs w:val="28"/>
        </w:rPr>
        <w:t xml:space="preserve">осуществление связи с членами </w:t>
      </w:r>
      <w:r w:rsidRPr="003F72DB"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и лицами, подающими заявки; 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hanging="153"/>
        <w:rPr>
          <w:sz w:val="28"/>
          <w:szCs w:val="28"/>
        </w:rPr>
      </w:pPr>
      <w:r w:rsidRPr="00B7362E">
        <w:rPr>
          <w:sz w:val="28"/>
          <w:szCs w:val="28"/>
        </w:rPr>
        <w:t xml:space="preserve">обеспечение подготовки персонала и членов </w:t>
      </w:r>
      <w:r w:rsidRPr="003F72DB"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; </w:t>
      </w:r>
    </w:p>
    <w:p w:rsidR="00005051" w:rsidRPr="00B7362E" w:rsidRDefault="00005051" w:rsidP="0000505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284" w:firstLine="851"/>
        <w:rPr>
          <w:sz w:val="28"/>
          <w:szCs w:val="28"/>
        </w:rPr>
      </w:pPr>
      <w:r w:rsidRPr="00B7362E">
        <w:rPr>
          <w:sz w:val="28"/>
          <w:szCs w:val="28"/>
        </w:rPr>
        <w:t>организация подготовки, рассмотрения, пересмотра и рассылки документов</w:t>
      </w:r>
    </w:p>
    <w:p w:rsidR="00005051" w:rsidRPr="00B7362E" w:rsidRDefault="00005051" w:rsidP="00005051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обеспечение необходимой административной поддержки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, его председателя в связи с относящейся к его компетенции деятельностью (например, доведение решения по заявке до ее подателя); </w:t>
      </w:r>
    </w:p>
    <w:p w:rsidR="00005051" w:rsidRPr="00B7362E" w:rsidRDefault="00005051" w:rsidP="00005051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обеспечение обновления информации по релевантным и современным вопросам, касающимся этики, применительно к биомедицинским исследованиям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7C35A3">
        <w:rPr>
          <w:sz w:val="28"/>
          <w:szCs w:val="28"/>
        </w:rPr>
        <w:t xml:space="preserve">Секретарь избирается членами </w:t>
      </w:r>
      <w:r>
        <w:rPr>
          <w:sz w:val="28"/>
          <w:szCs w:val="28"/>
        </w:rPr>
        <w:t>ЛКБ</w:t>
      </w:r>
      <w:r w:rsidRPr="007C35A3">
        <w:rPr>
          <w:sz w:val="28"/>
          <w:szCs w:val="28"/>
        </w:rPr>
        <w:t xml:space="preserve"> на 3 года, в последующем может быть переизбран, но не более чем на три следующих друг за другом срока.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rPr>
          <w:b/>
          <w:bCs/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 xml:space="preserve">Обязанности и сфера ответственности членов этической комиссии </w:t>
      </w:r>
    </w:p>
    <w:p w:rsidR="00005051" w:rsidRPr="00B7362E" w:rsidRDefault="00005051" w:rsidP="0000505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Участие в заседаниях комитета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Рассмотрение, обсуждение, рецензирование предложений относительно исследований, представленных на экспертную оценку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Рассмотрение отчетов о серьезных случаях нежелательных явлений. 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Изучение отчетов о ходе исследований и последующее наблюдение за текущими исследованиями.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Оценка окончательных отчетов об исследованиях и их результатов.</w:t>
      </w:r>
    </w:p>
    <w:p w:rsidR="00005051" w:rsidRPr="00B7362E" w:rsidRDefault="00005051" w:rsidP="00005051">
      <w:pPr>
        <w:numPr>
          <w:ilvl w:val="0"/>
          <w:numId w:val="4"/>
        </w:numPr>
        <w:tabs>
          <w:tab w:val="left" w:pos="1134"/>
        </w:tabs>
        <w:spacing w:after="0" w:line="240" w:lineRule="auto"/>
        <w:ind w:hanging="153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Обеспечение конфиденциальности документов и их обсуждения на заседаниях </w:t>
      </w:r>
      <w:r w:rsidRPr="003F72DB">
        <w:rPr>
          <w:sz w:val="28"/>
          <w:szCs w:val="28"/>
        </w:rPr>
        <w:t>ЛКБ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Объявления о конфликте интересов.</w:t>
      </w:r>
    </w:p>
    <w:p w:rsidR="00005051" w:rsidRPr="00B7362E" w:rsidRDefault="00005051" w:rsidP="00005051">
      <w:pPr>
        <w:numPr>
          <w:ilvl w:val="0"/>
          <w:numId w:val="4"/>
        </w:numPr>
        <w:tabs>
          <w:tab w:val="clear" w:pos="720"/>
          <w:tab w:val="num" w:pos="0"/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Участие в организации и проведении образовательных мероприятий в сфере биомедицинских исследований.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b/>
          <w:bCs/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>Требования по кворуму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Заседание </w:t>
      </w: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может быть проведено и его решения считаются действительными при присутствии на заседании 50%</w:t>
      </w:r>
      <w:r>
        <w:rPr>
          <w:sz w:val="28"/>
          <w:szCs w:val="28"/>
        </w:rPr>
        <w:t xml:space="preserve"> состава ЛКБ</w:t>
      </w:r>
      <w:r w:rsidRPr="00B7362E">
        <w:rPr>
          <w:sz w:val="28"/>
          <w:szCs w:val="28"/>
        </w:rPr>
        <w:t xml:space="preserve">. </w:t>
      </w:r>
    </w:p>
    <w:p w:rsidR="00005051" w:rsidRPr="00B7362E" w:rsidRDefault="00005051" w:rsidP="00005051">
      <w:pPr>
        <w:tabs>
          <w:tab w:val="left" w:pos="1134"/>
        </w:tabs>
        <w:spacing w:after="0" w:line="240" w:lineRule="auto"/>
        <w:ind w:left="-284" w:firstLine="851"/>
        <w:jc w:val="both"/>
        <w:rPr>
          <w:b/>
          <w:bCs/>
          <w:iCs/>
          <w:sz w:val="28"/>
          <w:szCs w:val="28"/>
        </w:rPr>
      </w:pPr>
      <w:r w:rsidRPr="00B7362E">
        <w:rPr>
          <w:b/>
          <w:bCs/>
          <w:iCs/>
          <w:sz w:val="28"/>
          <w:szCs w:val="28"/>
        </w:rPr>
        <w:t>Роспуск комиссии по этике</w:t>
      </w:r>
    </w:p>
    <w:p w:rsidR="00005051" w:rsidRPr="00B7362E" w:rsidRDefault="00005051" w:rsidP="00005051">
      <w:pPr>
        <w:tabs>
          <w:tab w:val="left" w:pos="993"/>
        </w:tabs>
        <w:spacing w:after="0" w:line="240" w:lineRule="auto"/>
        <w:ind w:left="-284" w:firstLine="851"/>
        <w:rPr>
          <w:rFonts w:asciiTheme="majorHAnsi" w:hAnsiTheme="majorHAnsi" w:cstheme="majorHAnsi"/>
          <w:sz w:val="28"/>
          <w:szCs w:val="28"/>
        </w:rPr>
      </w:pPr>
      <w:r>
        <w:rPr>
          <w:sz w:val="28"/>
          <w:szCs w:val="28"/>
        </w:rPr>
        <w:t>ЛКБ</w:t>
      </w:r>
      <w:r w:rsidRPr="00B7362E">
        <w:rPr>
          <w:sz w:val="28"/>
          <w:szCs w:val="28"/>
        </w:rPr>
        <w:t xml:space="preserve"> распускается по решению </w:t>
      </w:r>
      <w:r w:rsidR="00080302">
        <w:rPr>
          <w:sz w:val="28"/>
          <w:szCs w:val="28"/>
        </w:rPr>
        <w:t>Председателя Правления</w:t>
      </w:r>
    </w:p>
    <w:p w:rsidR="00005051" w:rsidRPr="00B7362E" w:rsidRDefault="00005051" w:rsidP="00005051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-284" w:firstLine="851"/>
        <w:jc w:val="both"/>
        <w:rPr>
          <w:rFonts w:asciiTheme="majorHAnsi" w:hAnsiTheme="majorHAnsi" w:cstheme="majorHAnsi"/>
          <w:sz w:val="28"/>
          <w:szCs w:val="28"/>
        </w:rPr>
      </w:pPr>
      <w:r w:rsidRPr="00C16846">
        <w:rPr>
          <w:rFonts w:asciiTheme="majorHAnsi" w:hAnsiTheme="majorHAnsi" w:cstheme="majorHAnsi"/>
          <w:sz w:val="28"/>
          <w:szCs w:val="28"/>
          <w:u w:val="single"/>
        </w:rPr>
        <w:t>Приложения:</w:t>
      </w:r>
      <w:r w:rsidRPr="00B7362E">
        <w:rPr>
          <w:rFonts w:asciiTheme="majorHAnsi" w:hAnsiTheme="majorHAnsi" w:cstheme="majorHAnsi"/>
          <w:sz w:val="28"/>
          <w:szCs w:val="28"/>
        </w:rPr>
        <w:t xml:space="preserve"> </w:t>
      </w:r>
    </w:p>
    <w:p w:rsidR="00005051" w:rsidRPr="00C16846" w:rsidRDefault="00810F7B" w:rsidP="00810F7B">
      <w:pPr>
        <w:pStyle w:val="ac"/>
        <w:tabs>
          <w:tab w:val="left" w:pos="993"/>
        </w:tabs>
        <w:spacing w:after="0" w:line="240" w:lineRule="auto"/>
        <w:ind w:left="567"/>
        <w:jc w:val="both"/>
        <w:rPr>
          <w:rFonts w:asciiTheme="majorHAnsi" w:hAnsiTheme="majorHAnsi" w:cstheme="majorHAnsi"/>
          <w:sz w:val="28"/>
          <w:szCs w:val="28"/>
          <w:u w:val="single"/>
        </w:rPr>
      </w:pPr>
      <w:r>
        <w:rPr>
          <w:rFonts w:asciiTheme="majorHAnsi" w:hAnsiTheme="majorHAnsi" w:cstheme="majorHAnsi"/>
          <w:sz w:val="28"/>
          <w:szCs w:val="28"/>
          <w:u w:val="single"/>
          <w:lang w:val="kk-KZ"/>
        </w:rPr>
        <w:t xml:space="preserve"> </w:t>
      </w:r>
      <w:r w:rsidR="00005051" w:rsidRPr="00C16846">
        <w:rPr>
          <w:rFonts w:asciiTheme="majorHAnsi" w:hAnsiTheme="majorHAnsi" w:cstheme="majorHAnsi"/>
          <w:sz w:val="28"/>
          <w:szCs w:val="28"/>
          <w:u w:val="single"/>
        </w:rPr>
        <w:t>Ссылки на НПА</w:t>
      </w:r>
    </w:p>
    <w:p w:rsidR="00005051" w:rsidRPr="00C16846" w:rsidRDefault="00A56900" w:rsidP="00005051">
      <w:pPr>
        <w:pStyle w:val="ac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hyperlink r:id="rId7" w:history="1">
        <w:r w:rsidR="00005051" w:rsidRPr="00C16846">
          <w:rPr>
            <w:bCs/>
            <w:sz w:val="28"/>
            <w:szCs w:val="28"/>
          </w:rPr>
          <w:t>Конституцией</w:t>
        </w:r>
      </w:hyperlink>
      <w:r w:rsidR="00005051" w:rsidRPr="00C16846">
        <w:rPr>
          <w:sz w:val="28"/>
          <w:szCs w:val="28"/>
        </w:rPr>
        <w:t xml:space="preserve"> Республики Казахстан от 30 августа 1995 года;</w:t>
      </w:r>
    </w:p>
    <w:p w:rsidR="00005051" w:rsidRPr="00B7362E" w:rsidRDefault="00005051" w:rsidP="00005051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 xml:space="preserve">Нормативными правовыми актами в области здравоохранения:   </w:t>
      </w:r>
    </w:p>
    <w:p w:rsidR="001A7B23" w:rsidRPr="001A7B23" w:rsidRDefault="00005051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B7362E">
        <w:rPr>
          <w:sz w:val="28"/>
          <w:szCs w:val="28"/>
        </w:rPr>
        <w:t>-</w:t>
      </w:r>
      <w:r w:rsidR="001A7B23" w:rsidRPr="001A7B23">
        <w:t xml:space="preserve"> </w:t>
      </w:r>
      <w:r w:rsidR="001A7B23" w:rsidRPr="001A7B23">
        <w:rPr>
          <w:sz w:val="28"/>
          <w:szCs w:val="28"/>
        </w:rPr>
        <w:t>Кодекс Республики Казахстан от 07 июля 2020 года «О здоровье народа и системе здравоохранения»;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ГОСТ 15.101-98 Система разработки и постановки продукции на производство «Порядок выполнения научно- исследовательских работ».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от 25 июля 2007 года «Об утверждении Правил проведения доклинических исследований, медико-биологических экспериментов и клинических испытаний в Республике Казахстан»;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«Об утверждении правил проведения биомедицинских исследований и требований к исследовательским центрам» от 21 декабря 2020 года № ҚР ДСМ-310/2020. Зарегистрирован в Министерстве юстиции Республики Казахстан 22 декабря 2020 года № 21851;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- Приказ </w:t>
      </w:r>
      <w:proofErr w:type="spellStart"/>
      <w:r w:rsidRPr="001A7B23">
        <w:rPr>
          <w:sz w:val="28"/>
          <w:szCs w:val="28"/>
        </w:rPr>
        <w:t>и.о</w:t>
      </w:r>
      <w:proofErr w:type="spellEnd"/>
      <w:r w:rsidRPr="001A7B23">
        <w:rPr>
          <w:sz w:val="28"/>
          <w:szCs w:val="28"/>
        </w:rPr>
        <w:t>. Министра здравоохранения Республики Казахстан «Об утверждении надлежащих фармацевтических практик» от 4 февраля 2021 года № ҚР ДСМ-15. Зарегистрирован в Министерстве юстиции Республики Казахстан 9 февраля 2021 года № 22167;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- Приказ </w:t>
      </w:r>
      <w:proofErr w:type="spellStart"/>
      <w:r w:rsidRPr="001A7B23">
        <w:rPr>
          <w:sz w:val="28"/>
          <w:szCs w:val="28"/>
        </w:rPr>
        <w:t>и.о</w:t>
      </w:r>
      <w:proofErr w:type="spellEnd"/>
      <w:r w:rsidRPr="001A7B23">
        <w:rPr>
          <w:sz w:val="28"/>
          <w:szCs w:val="28"/>
        </w:rPr>
        <w:t>. Министра здравоохранения Республики Казахстан «Об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от 25 декабря 2020 года № ҚР ДСМ-331/2020. Зарегистрирован в Министерстве юстиции Республики Казахстан 28 декабря 2020 года № 21934;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 Приказ Министра здравоохранения Республики Казахстан «Об утверждении Положения по Центральной комиссии по биоэтике» от 23 октября 2020 года № ҚР ДСМ-151/2020. Зарегистрирован в Министерстве юстиции Республики Казахстан 26 октября 2020 года № 21512;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-Приказ Министра здравоохранения Республики Казахстан  «Об утверждении правил проведения клинических исследований лекарственных средств и медицинских изделий, клинико-лабораторных испытаний медицинских изделий для диагностики вне живого организма (</w:t>
      </w:r>
      <w:proofErr w:type="spellStart"/>
      <w:r w:rsidRPr="001A7B23">
        <w:rPr>
          <w:sz w:val="28"/>
          <w:szCs w:val="28"/>
        </w:rPr>
        <w:t>in</w:t>
      </w:r>
      <w:proofErr w:type="spellEnd"/>
      <w:r w:rsidRPr="001A7B23">
        <w:rPr>
          <w:sz w:val="28"/>
          <w:szCs w:val="28"/>
        </w:rPr>
        <w:t xml:space="preserve"> </w:t>
      </w:r>
      <w:proofErr w:type="spellStart"/>
      <w:r w:rsidRPr="001A7B23">
        <w:rPr>
          <w:sz w:val="28"/>
          <w:szCs w:val="28"/>
        </w:rPr>
        <w:t>vitro</w:t>
      </w:r>
      <w:proofErr w:type="spellEnd"/>
      <w:r w:rsidRPr="001A7B23">
        <w:rPr>
          <w:sz w:val="28"/>
          <w:szCs w:val="28"/>
        </w:rPr>
        <w:t>) и требования к клиническим базам и оказания государственной услуги Выдача разрешения на проведение клинического исследования и (или) испытания фармакологических и лекарственных средств, медицинских изделий» от 11 декабря 2020 года № ҚР ДСМ-248/2020. Зарегистрирован в Министерстве юстиции Республики Казахстан 14 декабря 2020 года № 21772;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-Инструкции по проведению доклинических исследований и/или испытаний фармакологических и лекарственных средств в Республике Казахстан (утвержденной приказом Министра здравоохранения Республики Казахстан от 14 февраля 2005 года №53);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lastRenderedPageBreak/>
        <w:t>Государственными стандартами Республики Казахстан «Надлежащая лабораторная практика», «Надлежащая клиническая практика», утвержденными приказом Председателя Комитета по техническому регулированию и метрологии Министерства индустрии и торговли Республики Казахстан от 29 декабря 2006 года № 575;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Хельсинской декларацией Всемирной медицинской ассоциации (1964 г.); 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Конвенцией о правах человека и биомедицине (1997 г.);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Рекомендациями Всемирной организации здравоохранения комитетам по этике, проводящим экспертизу биомедицинских исследований (2000 г.);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Европейской Конвенцией по защите прав позвоночных животных, используемых в экспериментальных и других научных целях (1986 г.);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Другими нормативными правовыми актами Республики Казахстан;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 xml:space="preserve"> Положением о Центральной комиссии по вопросам этики при Министерстве здравоохранения Республики Казахстан от 30 июля 2008 года;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  <w:r w:rsidRPr="001A7B23">
        <w:rPr>
          <w:sz w:val="28"/>
          <w:szCs w:val="28"/>
        </w:rPr>
        <w:t>Стандартными операционными процедурами.</w:t>
      </w: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</w:p>
    <w:p w:rsidR="001A7B23" w:rsidRPr="001A7B23" w:rsidRDefault="001A7B23" w:rsidP="001A7B23">
      <w:pPr>
        <w:tabs>
          <w:tab w:val="left" w:pos="993"/>
        </w:tabs>
        <w:spacing w:after="0" w:line="240" w:lineRule="auto"/>
        <w:ind w:left="-284" w:firstLine="851"/>
        <w:jc w:val="both"/>
        <w:rPr>
          <w:sz w:val="28"/>
          <w:szCs w:val="28"/>
        </w:rPr>
      </w:pPr>
    </w:p>
    <w:p w:rsidR="00005051" w:rsidRPr="00B7362E" w:rsidRDefault="00005051" w:rsidP="00005051">
      <w:pPr>
        <w:pStyle w:val="ac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005051" w:rsidRDefault="00005051" w:rsidP="00005051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2C23C6" w:rsidRDefault="002C23C6" w:rsidP="00005051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005051" w:rsidRDefault="00005051" w:rsidP="00005051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Лист регистрации изменений и дополнений</w:t>
      </w:r>
    </w:p>
    <w:tbl>
      <w:tblPr>
        <w:tblStyle w:val="a3"/>
        <w:tblpPr w:leftFromText="180" w:rightFromText="180" w:vertAnchor="text" w:horzAnchor="page" w:tblpX="586" w:tblpY="397"/>
        <w:tblW w:w="10843" w:type="dxa"/>
        <w:tblLook w:val="04A0" w:firstRow="1" w:lastRow="0" w:firstColumn="1" w:lastColumn="0" w:noHBand="0" w:noVBand="1"/>
      </w:tblPr>
      <w:tblGrid>
        <w:gridCol w:w="1129"/>
        <w:gridCol w:w="1134"/>
        <w:gridCol w:w="925"/>
        <w:gridCol w:w="1769"/>
        <w:gridCol w:w="2835"/>
        <w:gridCol w:w="1842"/>
        <w:gridCol w:w="1209"/>
      </w:tblGrid>
      <w:tr w:rsidR="00005051" w:rsidTr="009E0102">
        <w:tc>
          <w:tcPr>
            <w:tcW w:w="4957" w:type="dxa"/>
            <w:gridSpan w:val="4"/>
          </w:tcPr>
          <w:p w:rsidR="00005051" w:rsidRPr="00091CBB" w:rsidRDefault="00005051" w:rsidP="009E0102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005051" w:rsidRPr="00091CBB" w:rsidRDefault="00005051" w:rsidP="009E0102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Документ об утверждении изменения/дополнения, номер, название</w:t>
            </w:r>
          </w:p>
        </w:tc>
        <w:tc>
          <w:tcPr>
            <w:tcW w:w="1842" w:type="dxa"/>
          </w:tcPr>
          <w:p w:rsidR="00005051" w:rsidRDefault="00005051" w:rsidP="009E0102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ФИО/</w:t>
            </w:r>
          </w:p>
          <w:p w:rsidR="00005051" w:rsidRPr="00091CBB" w:rsidRDefault="00005051" w:rsidP="009E0102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одразделение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09" w:type="dxa"/>
          </w:tcPr>
          <w:p w:rsidR="00005051" w:rsidRPr="00091CBB" w:rsidRDefault="00005051" w:rsidP="009E0102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П</w:t>
            </w:r>
            <w:r w:rsidRPr="00091CBB">
              <w:rPr>
                <w:rFonts w:asciiTheme="majorHAnsi" w:hAnsiTheme="majorHAnsi" w:cstheme="majorHAnsi"/>
                <w:b/>
                <w:sz w:val="24"/>
                <w:szCs w:val="24"/>
              </w:rPr>
              <w:t>одпись</w:t>
            </w: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FB2546">
              <w:rPr>
                <w:rFonts w:asciiTheme="majorHAnsi" w:hAnsiTheme="majorHAnsi" w:cstheme="majorHAnsi"/>
                <w:b/>
              </w:rPr>
              <w:t>версия</w:t>
            </w:r>
          </w:p>
        </w:tc>
        <w:tc>
          <w:tcPr>
            <w:tcW w:w="1134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Номер, название раздела</w:t>
            </w:r>
          </w:p>
        </w:tc>
        <w:tc>
          <w:tcPr>
            <w:tcW w:w="925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Номер пункта</w:t>
            </w:r>
          </w:p>
        </w:tc>
        <w:tc>
          <w:tcPr>
            <w:tcW w:w="176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Описание внесенных изменений</w:t>
            </w: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  <w:tr w:rsidR="00005051" w:rsidTr="009E0102">
        <w:tc>
          <w:tcPr>
            <w:tcW w:w="1129" w:type="dxa"/>
          </w:tcPr>
          <w:p w:rsidR="00005051" w:rsidRPr="00FB2546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34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2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6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005051" w:rsidRDefault="00005051" w:rsidP="009E0102">
            <w:pPr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:rsidR="00005051" w:rsidRDefault="00005051" w:rsidP="007A6EA1">
      <w:pPr>
        <w:pStyle w:val="ac"/>
        <w:jc w:val="both"/>
        <w:rPr>
          <w:rFonts w:asciiTheme="majorHAnsi" w:hAnsiTheme="majorHAnsi" w:cstheme="majorHAnsi"/>
          <w:b/>
          <w:sz w:val="28"/>
          <w:szCs w:val="28"/>
        </w:rPr>
      </w:pPr>
    </w:p>
    <w:sectPr w:rsidR="00005051" w:rsidSect="00392DD2">
      <w:headerReference w:type="default" r:id="rId8"/>
      <w:footerReference w:type="default" r:id="rId9"/>
      <w:headerReference w:type="first" r:id="rId10"/>
      <w:pgSz w:w="11906" w:h="16838"/>
      <w:pgMar w:top="-1701" w:right="850" w:bottom="1134" w:left="1701" w:header="22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00" w:rsidRDefault="00A56900" w:rsidP="003D5EB8">
      <w:pPr>
        <w:spacing w:after="0" w:line="240" w:lineRule="auto"/>
      </w:pPr>
      <w:r>
        <w:separator/>
      </w:r>
    </w:p>
  </w:endnote>
  <w:endnote w:type="continuationSeparator" w:id="0">
    <w:p w:rsidR="00A56900" w:rsidRDefault="00A56900" w:rsidP="003D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362" w:rsidRDefault="00D17362" w:rsidP="00D17362">
    <w:pPr>
      <w:pStyle w:val="af0"/>
      <w:rPr>
        <w:color w:val="000000"/>
      </w:rPr>
    </w:pPr>
  </w:p>
  <w:p w:rsidR="00D17362" w:rsidRDefault="00D17362" w:rsidP="00D17362">
    <w:pPr>
      <w:pStyle w:val="af0"/>
      <w:rPr>
        <w:color w:val="000000"/>
      </w:rPr>
    </w:pPr>
  </w:p>
  <w:p w:rsidR="00A7753C" w:rsidRPr="00D17362" w:rsidRDefault="00A7753C" w:rsidP="00D1736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00" w:rsidRDefault="00A56900" w:rsidP="003D5EB8">
      <w:pPr>
        <w:spacing w:after="0" w:line="240" w:lineRule="auto"/>
      </w:pPr>
      <w:r>
        <w:separator/>
      </w:r>
    </w:p>
  </w:footnote>
  <w:footnote w:type="continuationSeparator" w:id="0">
    <w:p w:rsidR="00A56900" w:rsidRDefault="00A56900" w:rsidP="003D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DD2" w:rsidRPr="00354EFB" w:rsidRDefault="00392DD2" w:rsidP="00392DD2">
    <w:pPr>
      <w:pStyle w:val="ae"/>
      <w:ind w:left="-284"/>
      <w:jc w:val="right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0" locked="0" layoutInCell="1" allowOverlap="1" wp14:anchorId="2D373EE9" wp14:editId="3B7535CE">
          <wp:simplePos x="0" y="0"/>
          <wp:positionH relativeFrom="column">
            <wp:posOffset>-185530</wp:posOffset>
          </wp:positionH>
          <wp:positionV relativeFrom="paragraph">
            <wp:posOffset>8117</wp:posOffset>
          </wp:positionV>
          <wp:extent cx="583194" cy="590550"/>
          <wp:effectExtent l="0" t="0" r="762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6616FD" w:rsidRDefault="00392DD2" w:rsidP="00392DD2">
    <w:pPr>
      <w:pStyle w:val="ae"/>
      <w:ind w:left="-284"/>
      <w:jc w:val="right"/>
      <w:rPr>
        <w:rFonts w:asciiTheme="majorHAnsi" w:hAnsiTheme="majorHAnsi" w:cstheme="majorHAnsi"/>
        <w:sz w:val="12"/>
      </w:rPr>
    </w:pPr>
    <w:r w:rsidRPr="006616FD">
      <w:rPr>
        <w:rFonts w:asciiTheme="majorHAnsi" w:eastAsia="Times New Roman" w:hAnsiTheme="majorHAnsi" w:cstheme="majorHAnsi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3D5EB8" w:rsidRPr="006616FD" w:rsidRDefault="003D5EB8" w:rsidP="009A6CFF">
    <w:pPr>
      <w:pStyle w:val="ae"/>
      <w:ind w:left="-284"/>
      <w:jc w:val="center"/>
      <w:rPr>
        <w:rFonts w:asciiTheme="majorHAnsi" w:hAnsiTheme="majorHAnsi" w:cs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0" locked="0" layoutInCell="1" allowOverlap="1" wp14:anchorId="1A9DEC6A" wp14:editId="37836A69">
          <wp:simplePos x="0" y="0"/>
          <wp:positionH relativeFrom="column">
            <wp:posOffset>-132080</wp:posOffset>
          </wp:positionH>
          <wp:positionV relativeFrom="paragraph">
            <wp:posOffset>17145</wp:posOffset>
          </wp:positionV>
          <wp:extent cx="583194" cy="590550"/>
          <wp:effectExtent l="0" t="0" r="762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94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Default="00392DD2" w:rsidP="00392DD2">
    <w:pPr>
      <w:pStyle w:val="ae"/>
      <w:ind w:left="-284"/>
      <w:jc w:val="right"/>
      <w:rPr>
        <w:rFonts w:ascii="Verdana" w:eastAsia="Times New Roman" w:hAnsi="Verdana" w:cs="Times New Roman"/>
        <w:b/>
        <w:sz w:val="16"/>
        <w:szCs w:val="20"/>
        <w:lang w:eastAsia="zh-CN"/>
      </w:rPr>
    </w:pPr>
  </w:p>
  <w:p w:rsidR="00392DD2" w:rsidRPr="00354EFB" w:rsidRDefault="00392DD2" w:rsidP="00392DD2">
    <w:pPr>
      <w:pStyle w:val="ae"/>
      <w:ind w:left="-284"/>
      <w:jc w:val="right"/>
      <w:rPr>
        <w:rFonts w:ascii="Verdana" w:hAnsi="Verdana"/>
        <w:sz w:val="12"/>
      </w:rPr>
    </w:pPr>
    <w:r w:rsidRPr="00354EFB">
      <w:rPr>
        <w:rFonts w:ascii="Verdana" w:eastAsia="Times New Roman" w:hAnsi="Verdana" w:cs="Times New Roman"/>
        <w:b/>
        <w:sz w:val="16"/>
        <w:szCs w:val="20"/>
        <w:lang w:eastAsia="zh-CN"/>
      </w:rPr>
      <w:t>РГП НА ПХВ «НАЦИОНАЛЬНЫЙ ЦЕНТР ОБЩЕСТВЕННОГО ЗДРАВООХРАНЕНИЯ» МЗ  РК</w:t>
    </w:r>
  </w:p>
  <w:p w:rsidR="008F6B82" w:rsidRPr="009A6CFF" w:rsidRDefault="008F6B82" w:rsidP="009A6CFF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BCE"/>
    <w:multiLevelType w:val="hybridMultilevel"/>
    <w:tmpl w:val="2690EAAA"/>
    <w:lvl w:ilvl="0" w:tplc="2904E6B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DA1B50"/>
    <w:multiLevelType w:val="hybridMultilevel"/>
    <w:tmpl w:val="19D43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FB132B"/>
    <w:multiLevelType w:val="hybridMultilevel"/>
    <w:tmpl w:val="43FA5EFC"/>
    <w:lvl w:ilvl="0" w:tplc="41C8E05C">
      <w:start w:val="1"/>
      <w:numFmt w:val="decimal"/>
      <w:lvlText w:val="%1."/>
      <w:lvlJc w:val="left"/>
      <w:pPr>
        <w:ind w:left="786" w:hanging="360"/>
      </w:pPr>
      <w:rPr>
        <w:rFonts w:asciiTheme="majorHAnsi" w:eastAsiaTheme="minorHAnsi" w:hAnsiTheme="majorHAnsi" w:cstheme="majorHAns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1F2A90"/>
    <w:multiLevelType w:val="hybridMultilevel"/>
    <w:tmpl w:val="C70CB1CC"/>
    <w:lvl w:ilvl="0" w:tplc="6EFACA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C83B23"/>
    <w:multiLevelType w:val="hybridMultilevel"/>
    <w:tmpl w:val="CA722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92919"/>
    <w:multiLevelType w:val="hybridMultilevel"/>
    <w:tmpl w:val="060421D8"/>
    <w:lvl w:ilvl="0" w:tplc="A9802F58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74D31824"/>
    <w:multiLevelType w:val="hybridMultilevel"/>
    <w:tmpl w:val="86BE9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4B"/>
    <w:rsid w:val="00005051"/>
    <w:rsid w:val="00006B3E"/>
    <w:rsid w:val="000766AD"/>
    <w:rsid w:val="00080302"/>
    <w:rsid w:val="00091CBB"/>
    <w:rsid w:val="000A1D1D"/>
    <w:rsid w:val="000C1D6D"/>
    <w:rsid w:val="000D69E5"/>
    <w:rsid w:val="00114569"/>
    <w:rsid w:val="00141D4A"/>
    <w:rsid w:val="00153A7A"/>
    <w:rsid w:val="0017278F"/>
    <w:rsid w:val="00190DBD"/>
    <w:rsid w:val="001A7B23"/>
    <w:rsid w:val="001C6000"/>
    <w:rsid w:val="001F7954"/>
    <w:rsid w:val="0021761A"/>
    <w:rsid w:val="00266163"/>
    <w:rsid w:val="00287C69"/>
    <w:rsid w:val="002B51AF"/>
    <w:rsid w:val="002B6C03"/>
    <w:rsid w:val="002C23C6"/>
    <w:rsid w:val="002C35BD"/>
    <w:rsid w:val="002E4C52"/>
    <w:rsid w:val="003007C8"/>
    <w:rsid w:val="00340FDF"/>
    <w:rsid w:val="00392A9B"/>
    <w:rsid w:val="00392DD2"/>
    <w:rsid w:val="003D5EB8"/>
    <w:rsid w:val="004034F0"/>
    <w:rsid w:val="00435D3D"/>
    <w:rsid w:val="00444C83"/>
    <w:rsid w:val="00464D1C"/>
    <w:rsid w:val="004753F4"/>
    <w:rsid w:val="00477650"/>
    <w:rsid w:val="00491327"/>
    <w:rsid w:val="004D2D46"/>
    <w:rsid w:val="004E156F"/>
    <w:rsid w:val="00533B43"/>
    <w:rsid w:val="005F1CC2"/>
    <w:rsid w:val="0060492E"/>
    <w:rsid w:val="006149F1"/>
    <w:rsid w:val="0062136E"/>
    <w:rsid w:val="00635BA8"/>
    <w:rsid w:val="006616FD"/>
    <w:rsid w:val="00683280"/>
    <w:rsid w:val="006C0EB3"/>
    <w:rsid w:val="006C282D"/>
    <w:rsid w:val="006D2D6F"/>
    <w:rsid w:val="00707D4B"/>
    <w:rsid w:val="00726D12"/>
    <w:rsid w:val="00732B01"/>
    <w:rsid w:val="00733B21"/>
    <w:rsid w:val="007A6EA1"/>
    <w:rsid w:val="007C3FBB"/>
    <w:rsid w:val="00810F7B"/>
    <w:rsid w:val="00814016"/>
    <w:rsid w:val="008226BA"/>
    <w:rsid w:val="0085050D"/>
    <w:rsid w:val="00895552"/>
    <w:rsid w:val="008E7CB3"/>
    <w:rsid w:val="008F6B82"/>
    <w:rsid w:val="00911268"/>
    <w:rsid w:val="00924539"/>
    <w:rsid w:val="009373AE"/>
    <w:rsid w:val="00967CCE"/>
    <w:rsid w:val="009A5DF8"/>
    <w:rsid w:val="009A6CFF"/>
    <w:rsid w:val="00A019C9"/>
    <w:rsid w:val="00A166F4"/>
    <w:rsid w:val="00A2732C"/>
    <w:rsid w:val="00A56900"/>
    <w:rsid w:val="00A7753C"/>
    <w:rsid w:val="00AA725A"/>
    <w:rsid w:val="00B710FE"/>
    <w:rsid w:val="00B7362E"/>
    <w:rsid w:val="00B864E9"/>
    <w:rsid w:val="00BE4617"/>
    <w:rsid w:val="00BF7507"/>
    <w:rsid w:val="00C0361E"/>
    <w:rsid w:val="00C30FA8"/>
    <w:rsid w:val="00C33AF3"/>
    <w:rsid w:val="00C56692"/>
    <w:rsid w:val="00CB1255"/>
    <w:rsid w:val="00CD2251"/>
    <w:rsid w:val="00CE2B03"/>
    <w:rsid w:val="00CF08BC"/>
    <w:rsid w:val="00D12DC6"/>
    <w:rsid w:val="00D17362"/>
    <w:rsid w:val="00D36A6F"/>
    <w:rsid w:val="00D61E2C"/>
    <w:rsid w:val="00D66C89"/>
    <w:rsid w:val="00D759A6"/>
    <w:rsid w:val="00DC64DE"/>
    <w:rsid w:val="00DD5B6F"/>
    <w:rsid w:val="00DE3372"/>
    <w:rsid w:val="00E7079A"/>
    <w:rsid w:val="00E90B1E"/>
    <w:rsid w:val="00E97660"/>
    <w:rsid w:val="00EB3435"/>
    <w:rsid w:val="00ED37B2"/>
    <w:rsid w:val="00F26DED"/>
    <w:rsid w:val="00F40E1A"/>
    <w:rsid w:val="00FB2546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B7B074-97D6-44DF-800B-24306829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21"/>
  </w:style>
  <w:style w:type="paragraph" w:styleId="1">
    <w:name w:val="heading 1"/>
    <w:basedOn w:val="a"/>
    <w:next w:val="a"/>
    <w:link w:val="10"/>
    <w:uiPriority w:val="9"/>
    <w:qFormat/>
    <w:rsid w:val="004D2D4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D2D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034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34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34F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34F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034F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034F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3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4F0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761A"/>
    <w:pPr>
      <w:ind w:left="720"/>
      <w:contextualSpacing/>
    </w:pPr>
  </w:style>
  <w:style w:type="paragraph" w:styleId="ad">
    <w:name w:val="Normal Indent"/>
    <w:basedOn w:val="a"/>
    <w:semiHidden/>
    <w:rsid w:val="00287C69"/>
    <w:pPr>
      <w:spacing w:before="120" w:after="120" w:line="240" w:lineRule="auto"/>
      <w:ind w:left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D5EB8"/>
  </w:style>
  <w:style w:type="paragraph" w:styleId="af0">
    <w:name w:val="footer"/>
    <w:basedOn w:val="a"/>
    <w:link w:val="af1"/>
    <w:uiPriority w:val="99"/>
    <w:unhideWhenUsed/>
    <w:rsid w:val="003D5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D5EB8"/>
  </w:style>
  <w:style w:type="character" w:customStyle="1" w:styleId="10">
    <w:name w:val="Заголовок 1 Знак"/>
    <w:basedOn w:val="a0"/>
    <w:link w:val="1"/>
    <w:uiPriority w:val="9"/>
    <w:rsid w:val="004D2D4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4D2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f2">
    <w:name w:val="Body Text"/>
    <w:basedOn w:val="a"/>
    <w:link w:val="af3"/>
    <w:rsid w:val="004D2D46"/>
    <w:pPr>
      <w:spacing w:after="0" w:line="240" w:lineRule="auto"/>
      <w:jc w:val="both"/>
    </w:pPr>
    <w:rPr>
      <w:rFonts w:ascii="Times New Roman" w:eastAsia="Times New Roman" w:hAnsi="Times New Roman" w:cs="Angsana New"/>
      <w:sz w:val="24"/>
      <w:szCs w:val="24"/>
      <w:lang w:val="en-US" w:bidi="th-TH"/>
    </w:rPr>
  </w:style>
  <w:style w:type="character" w:customStyle="1" w:styleId="af3">
    <w:name w:val="Основной текст Знак"/>
    <w:basedOn w:val="a0"/>
    <w:link w:val="af2"/>
    <w:rsid w:val="004D2D46"/>
    <w:rPr>
      <w:rFonts w:ascii="Times New Roman" w:eastAsia="Times New Roman" w:hAnsi="Times New Roman" w:cs="Angsana New"/>
      <w:sz w:val="24"/>
      <w:szCs w:val="24"/>
      <w:lang w:val="en-US" w:bidi="th-TH"/>
    </w:rPr>
  </w:style>
  <w:style w:type="paragraph" w:styleId="11">
    <w:name w:val="toc 1"/>
    <w:basedOn w:val="a"/>
    <w:next w:val="a"/>
    <w:autoRedefine/>
    <w:semiHidden/>
    <w:rsid w:val="004D2D4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l:1005029.0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Каптагаева Айгуль</dc:creator>
  <cp:lastModifiedBy>AST</cp:lastModifiedBy>
  <cp:revision>2</cp:revision>
  <cp:lastPrinted>2019-12-06T09:37:00Z</cp:lastPrinted>
  <dcterms:created xsi:type="dcterms:W3CDTF">2025-12-16T13:56:00Z</dcterms:created>
  <dcterms:modified xsi:type="dcterms:W3CDTF">2025-12-16T13:56:00Z</dcterms:modified>
</cp:coreProperties>
</file>